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F53069" w:rsidRPr="00F53069">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F53069" w:rsidRPr="00F53069">
              <w:trPr>
                <w:trHeight w:val="1845"/>
              </w:trPr>
              <w:tc>
                <w:tcPr>
                  <w:tcW w:w="2790" w:type="dxa"/>
                  <w:tcBorders>
                    <w:top w:val="nil"/>
                    <w:left w:val="nil"/>
                    <w:bottom w:val="nil"/>
                    <w:right w:val="nil"/>
                  </w:tcBorders>
                  <w:vAlign w:val="center"/>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2/5/EXT_SEQ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2/5/EXT_SEQUEL.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F53069" w:rsidRPr="00F53069">
                    <w:tc>
                      <w:tcPr>
                        <w:tcW w:w="4500" w:type="dxa"/>
                        <w:tcBorders>
                          <w:top w:val="nil"/>
                          <w:left w:val="nil"/>
                          <w:bottom w:val="nil"/>
                          <w:right w:val="nil"/>
                        </w:tcBorders>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r w:rsidRPr="00F53069">
                          <w:rPr>
                            <w:rFonts w:ascii="Arial" w:eastAsia="宋体" w:hAnsi="Arial" w:cs="Arial"/>
                            <w:b/>
                            <w:bCs/>
                            <w:color w:val="000000"/>
                            <w:kern w:val="0"/>
                            <w:sz w:val="36"/>
                            <w:szCs w:val="36"/>
                          </w:rPr>
                          <w:t>Automotive Exteriors</w:t>
                        </w:r>
                        <w:r w:rsidRPr="00F53069">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F53069">
                          <w:rPr>
                            <w:rFonts w:ascii="Arial" w:eastAsia="宋体" w:hAnsi="Arial" w:cs="Arial"/>
                            <w:color w:val="000000"/>
                            <w:kern w:val="0"/>
                            <w:sz w:val="17"/>
                            <w:szCs w:val="17"/>
                          </w:rPr>
                          <w:br/>
                        </w:r>
                        <w:r w:rsidRPr="00F53069">
                          <w:rPr>
                            <w:rFonts w:ascii="Arial" w:eastAsia="宋体" w:hAnsi="Arial" w:cs="Arial"/>
                            <w:color w:val="000000"/>
                            <w:kern w:val="0"/>
                            <w:sz w:val="27"/>
                            <w:szCs w:val="27"/>
                          </w:rPr>
                          <w:t xml:space="preserve">SEQUEL® Engineered </w:t>
                        </w:r>
                        <w:proofErr w:type="spellStart"/>
                        <w:r w:rsidRPr="00F53069">
                          <w:rPr>
                            <w:rFonts w:ascii="Arial" w:eastAsia="宋体" w:hAnsi="Arial" w:cs="Arial"/>
                            <w:color w:val="000000"/>
                            <w:kern w:val="0"/>
                            <w:sz w:val="27"/>
                            <w:szCs w:val="27"/>
                          </w:rPr>
                          <w:t>Polyolefins</w:t>
                        </w:r>
                        <w:proofErr w:type="spellEnd"/>
                      </w:p>
                    </w:tc>
                  </w:tr>
                </w:tbl>
                <w:p w:rsidR="00F53069" w:rsidRPr="00F53069" w:rsidRDefault="00F53069" w:rsidP="00F53069">
                  <w:pPr>
                    <w:widowControl/>
                    <w:spacing w:line="195" w:lineRule="atLeast"/>
                    <w:jc w:val="left"/>
                    <w:rPr>
                      <w:rFonts w:ascii="Arial" w:eastAsia="宋体" w:hAnsi="Arial" w:cs="Arial"/>
                      <w:color w:val="000000"/>
                      <w:kern w:val="0"/>
                      <w:sz w:val="17"/>
                      <w:szCs w:val="17"/>
                    </w:rPr>
                  </w:pPr>
                </w:p>
              </w:tc>
            </w:tr>
          </w:tbl>
          <w:p w:rsidR="00F53069" w:rsidRPr="00F53069" w:rsidRDefault="00F53069" w:rsidP="00F53069">
            <w:pPr>
              <w:widowControl/>
              <w:spacing w:line="195" w:lineRule="atLeast"/>
              <w:jc w:val="left"/>
              <w:rPr>
                <w:rFonts w:ascii="Arial" w:eastAsia="宋体" w:hAnsi="Arial" w:cs="Arial"/>
                <w:color w:val="000000"/>
                <w:kern w:val="0"/>
                <w:sz w:val="17"/>
                <w:szCs w:val="17"/>
              </w:rPr>
            </w:pPr>
          </w:p>
        </w:tc>
      </w:tr>
      <w:tr w:rsidR="00F53069" w:rsidRPr="00F53069">
        <w:trPr>
          <w:tblCellSpacing w:w="0" w:type="dxa"/>
          <w:jc w:val="center"/>
        </w:trPr>
        <w:tc>
          <w:tcPr>
            <w:tcW w:w="0" w:type="auto"/>
            <w:vAlign w:val="center"/>
            <w:hideMark/>
          </w:tcPr>
          <w:tbl>
            <w:tblPr>
              <w:tblW w:w="7500" w:type="dxa"/>
              <w:tblCellMar>
                <w:left w:w="0" w:type="dxa"/>
                <w:right w:w="0" w:type="dxa"/>
              </w:tblCellMar>
              <w:tblLook w:val="04A0"/>
            </w:tblPr>
            <w:tblGrid>
              <w:gridCol w:w="405"/>
              <w:gridCol w:w="7095"/>
            </w:tblGrid>
            <w:tr w:rsidR="00F53069" w:rsidRPr="00F53069">
              <w:tc>
                <w:tcPr>
                  <w:tcW w:w="405" w:type="dxa"/>
                  <w:tcBorders>
                    <w:top w:val="nil"/>
                    <w:left w:val="nil"/>
                    <w:bottom w:val="nil"/>
                    <w:right w:val="nil"/>
                  </w:tcBorders>
                  <w:vAlign w:val="center"/>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p>
              </w:tc>
              <w:tc>
                <w:tcPr>
                  <w:tcW w:w="7095" w:type="dxa"/>
                  <w:tcBorders>
                    <w:top w:val="nil"/>
                    <w:left w:val="nil"/>
                    <w:bottom w:val="nil"/>
                    <w:right w:val="nil"/>
                  </w:tcBorders>
                  <w:vAlign w:val="center"/>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p>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b/>
                      <w:bCs/>
                      <w:color w:val="0065CE"/>
                      <w:kern w:val="0"/>
                      <w:sz w:val="18"/>
                    </w:rPr>
                    <w:t xml:space="preserve">SEQUEL® Engineered </w:t>
                  </w:r>
                  <w:proofErr w:type="spellStart"/>
                  <w:r w:rsidRPr="00F53069">
                    <w:rPr>
                      <w:rFonts w:ascii="Arial" w:eastAsia="宋体" w:hAnsi="Arial" w:cs="Arial"/>
                      <w:b/>
                      <w:bCs/>
                      <w:color w:val="0065CE"/>
                      <w:kern w:val="0"/>
                      <w:sz w:val="18"/>
                    </w:rPr>
                    <w:t>Polyolefins</w:t>
                  </w:r>
                  <w:proofErr w:type="spellEnd"/>
                </w:p>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color w:val="000000"/>
                      <w:kern w:val="0"/>
                      <w:sz w:val="18"/>
                    </w:rPr>
                    <w:t>Several distinct families of SEQUEL materials have been developed to meet customers’ demands for specific performance in automotive exterior applications. For technical data on the individual products, click on the material name in the following lists.</w:t>
                  </w:r>
                </w:p>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b/>
                      <w:bCs/>
                      <w:color w:val="000000"/>
                      <w:kern w:val="0"/>
                      <w:sz w:val="18"/>
                    </w:rPr>
                    <w:t>High flex, high impact:  SEQUEL 1400 series</w:t>
                  </w:r>
                </w:p>
                <w:tbl>
                  <w:tblPr>
                    <w:tblW w:w="5000" w:type="pct"/>
                    <w:tblCellSpacing w:w="15" w:type="dxa"/>
                    <w:tblCellMar>
                      <w:top w:w="15" w:type="dxa"/>
                      <w:left w:w="15" w:type="dxa"/>
                      <w:bottom w:w="15" w:type="dxa"/>
                      <w:right w:w="15" w:type="dxa"/>
                    </w:tblCellMar>
                    <w:tblLook w:val="04A0"/>
                  </w:tblPr>
                  <w:tblGrid>
                    <w:gridCol w:w="2242"/>
                    <w:gridCol w:w="2576"/>
                    <w:gridCol w:w="2277"/>
                  </w:tblGrid>
                  <w:tr w:rsidR="00F53069" w:rsidRPr="00F53069">
                    <w:trPr>
                      <w:tblCellSpacing w:w="15" w:type="dxa"/>
                    </w:trPr>
                    <w:tc>
                      <w:tcPr>
                        <w:tcW w:w="189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hyperlink r:id="rId6" w:tgtFrame="_blank" w:history="1">
                          <w:r w:rsidRPr="00F53069">
                            <w:rPr>
                              <w:rFonts w:ascii="Arial" w:eastAsia="宋体" w:hAnsi="Arial" w:cs="Arial"/>
                              <w:color w:val="999999"/>
                              <w:kern w:val="0"/>
                              <w:sz w:val="17"/>
                              <w:u w:val="single"/>
                            </w:rPr>
                            <w:t>SEQUEL 1440</w:t>
                          </w:r>
                        </w:hyperlink>
                      </w:p>
                    </w:tc>
                    <w:tc>
                      <w:tcPr>
                        <w:tcW w:w="2190" w:type="dxa"/>
                        <w:hideMark/>
                      </w:tcPr>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hyperlink r:id="rId7" w:tgtFrame="_blank" w:history="1">
                          <w:r w:rsidRPr="00F53069">
                            <w:rPr>
                              <w:rFonts w:ascii="Arial" w:eastAsia="宋体" w:hAnsi="Arial" w:cs="Arial"/>
                              <w:color w:val="999999"/>
                              <w:kern w:val="0"/>
                              <w:sz w:val="17"/>
                              <w:u w:val="single"/>
                            </w:rPr>
                            <w:t>SEQUEL 1480</w:t>
                          </w:r>
                        </w:hyperlink>
                      </w:p>
                    </w:tc>
                    <w:tc>
                      <w:tcPr>
                        <w:tcW w:w="192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hyperlink r:id="rId8" w:tgtFrame="_blank" w:history="1">
                          <w:r w:rsidRPr="00F53069">
                            <w:rPr>
                              <w:rFonts w:ascii="Arial" w:eastAsia="宋体" w:hAnsi="Arial" w:cs="Arial"/>
                              <w:color w:val="999999"/>
                              <w:kern w:val="0"/>
                              <w:sz w:val="17"/>
                              <w:u w:val="single"/>
                            </w:rPr>
                            <w:t>SEQUEL 1485</w:t>
                          </w:r>
                        </w:hyperlink>
                      </w:p>
                    </w:tc>
                  </w:tr>
                </w:tbl>
                <w:p w:rsidR="00F53069" w:rsidRPr="00F53069" w:rsidRDefault="00F53069" w:rsidP="00F53069">
                  <w:pPr>
                    <w:widowControl/>
                    <w:spacing w:line="195" w:lineRule="atLeast"/>
                    <w:jc w:val="left"/>
                    <w:rPr>
                      <w:rFonts w:ascii="Arial" w:eastAsia="宋体" w:hAnsi="Arial" w:cs="Arial"/>
                      <w:color w:val="000000"/>
                      <w:kern w:val="0"/>
                      <w:sz w:val="17"/>
                      <w:szCs w:val="17"/>
                    </w:rPr>
                  </w:pPr>
                  <w:r w:rsidRPr="00F53069">
                    <w:rPr>
                      <w:rFonts w:ascii="Arial" w:eastAsia="宋体" w:hAnsi="Arial" w:cs="Arial"/>
                      <w:color w:val="000000"/>
                      <w:kern w:val="0"/>
                      <w:sz w:val="17"/>
                      <w:szCs w:val="17"/>
                    </w:rPr>
                    <w:br/>
                  </w:r>
                  <w:r w:rsidRPr="00F53069">
                    <w:rPr>
                      <w:rFonts w:ascii="Arial" w:eastAsia="宋体" w:hAnsi="Arial" w:cs="Arial"/>
                      <w:b/>
                      <w:bCs/>
                      <w:color w:val="000000"/>
                      <w:kern w:val="0"/>
                      <w:sz w:val="18"/>
                    </w:rPr>
                    <w:t>Mar resistance: </w:t>
                  </w:r>
                  <w:r w:rsidRPr="00F53069">
                    <w:rPr>
                      <w:rFonts w:ascii="Arial" w:eastAsia="宋体" w:hAnsi="Arial" w:cs="Arial"/>
                      <w:color w:val="000000"/>
                      <w:kern w:val="0"/>
                      <w:sz w:val="18"/>
                    </w:rPr>
                    <w:t xml:space="preserve">  </w:t>
                  </w:r>
                  <w:hyperlink r:id="rId9" w:history="1">
                    <w:r w:rsidRPr="00F53069">
                      <w:rPr>
                        <w:rFonts w:ascii="Arial" w:eastAsia="宋体" w:hAnsi="Arial" w:cs="Arial"/>
                        <w:color w:val="999999"/>
                        <w:kern w:val="0"/>
                        <w:sz w:val="17"/>
                        <w:u w:val="single"/>
                      </w:rPr>
                      <w:t>SEQUEL 1514</w:t>
                    </w:r>
                  </w:hyperlink>
                  <w:r w:rsidRPr="00F53069">
                    <w:rPr>
                      <w:rFonts w:ascii="Arial" w:eastAsia="宋体" w:hAnsi="Arial" w:cs="Arial"/>
                      <w:color w:val="000000"/>
                      <w:kern w:val="0"/>
                      <w:sz w:val="17"/>
                      <w:szCs w:val="17"/>
                    </w:rPr>
                    <w:t xml:space="preserve"> </w:t>
                  </w:r>
                </w:p>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b/>
                      <w:bCs/>
                      <w:color w:val="000000"/>
                      <w:kern w:val="0"/>
                      <w:sz w:val="18"/>
                    </w:rPr>
                    <w:t>Low coefficients of linear thermal expansion (CLTE):  SEQUEL 1700 series</w:t>
                  </w:r>
                </w:p>
                <w:tbl>
                  <w:tblPr>
                    <w:tblW w:w="5000" w:type="pct"/>
                    <w:tblCellSpacing w:w="15" w:type="dxa"/>
                    <w:tblCellMar>
                      <w:top w:w="15" w:type="dxa"/>
                      <w:left w:w="15" w:type="dxa"/>
                      <w:bottom w:w="15" w:type="dxa"/>
                      <w:right w:w="15" w:type="dxa"/>
                    </w:tblCellMar>
                    <w:tblLook w:val="04A0"/>
                  </w:tblPr>
                  <w:tblGrid>
                    <w:gridCol w:w="2277"/>
                    <w:gridCol w:w="2471"/>
                    <w:gridCol w:w="2347"/>
                  </w:tblGrid>
                  <w:tr w:rsidR="00F53069" w:rsidRPr="00F53069">
                    <w:trPr>
                      <w:tblCellSpacing w:w="15" w:type="dxa"/>
                    </w:trPr>
                    <w:tc>
                      <w:tcPr>
                        <w:tcW w:w="192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hyperlink r:id="rId10" w:tgtFrame="_blank" w:history="1">
                          <w:r w:rsidRPr="00F53069">
                            <w:rPr>
                              <w:rFonts w:ascii="Arial" w:eastAsia="宋体" w:hAnsi="Arial" w:cs="Arial"/>
                              <w:color w:val="999999"/>
                              <w:kern w:val="0"/>
                              <w:sz w:val="17"/>
                              <w:u w:val="single"/>
                            </w:rPr>
                            <w:t>SEQUEL 1718</w:t>
                          </w:r>
                        </w:hyperlink>
                      </w:p>
                    </w:tc>
                    <w:tc>
                      <w:tcPr>
                        <w:tcW w:w="210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hyperlink r:id="rId11" w:tgtFrame="_blank" w:history="1">
                          <w:r w:rsidRPr="00F53069">
                            <w:rPr>
                              <w:rFonts w:ascii="Arial" w:eastAsia="宋体" w:hAnsi="Arial" w:cs="Arial"/>
                              <w:color w:val="999999"/>
                              <w:kern w:val="0"/>
                              <w:sz w:val="17"/>
                              <w:u w:val="single"/>
                            </w:rPr>
                            <w:t>SEQUEL 1733</w:t>
                          </w:r>
                        </w:hyperlink>
                        <w:r w:rsidRPr="00F53069">
                          <w:rPr>
                            <w:rFonts w:ascii="Arial" w:eastAsia="宋体" w:hAnsi="Arial" w:cs="Arial"/>
                            <w:color w:val="000000"/>
                            <w:kern w:val="0"/>
                            <w:sz w:val="17"/>
                            <w:szCs w:val="17"/>
                          </w:rPr>
                          <w:br/>
                        </w:r>
                        <w:hyperlink r:id="rId12" w:tgtFrame="_blank" w:history="1">
                          <w:r w:rsidRPr="00F53069">
                            <w:rPr>
                              <w:rFonts w:ascii="Arial" w:eastAsia="宋体" w:hAnsi="Arial" w:cs="Arial"/>
                              <w:color w:val="999999"/>
                              <w:kern w:val="0"/>
                              <w:sz w:val="17"/>
                              <w:u w:val="single"/>
                            </w:rPr>
                            <w:t>SEQUEL 1733HI</w:t>
                          </w:r>
                        </w:hyperlink>
                      </w:p>
                    </w:tc>
                    <w:tc>
                      <w:tcPr>
                        <w:tcW w:w="198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hyperlink r:id="rId13" w:tgtFrame="_blank" w:history="1">
                          <w:r w:rsidRPr="00F53069">
                            <w:rPr>
                              <w:rFonts w:ascii="Arial" w:eastAsia="宋体" w:hAnsi="Arial" w:cs="Arial"/>
                              <w:color w:val="999999"/>
                              <w:kern w:val="0"/>
                              <w:sz w:val="17"/>
                              <w:u w:val="single"/>
                            </w:rPr>
                            <w:t>SEQUEL 1780</w:t>
                          </w:r>
                        </w:hyperlink>
                      </w:p>
                    </w:tc>
                  </w:tr>
                </w:tbl>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b/>
                      <w:bCs/>
                      <w:color w:val="000000"/>
                      <w:kern w:val="0"/>
                      <w:sz w:val="18"/>
                    </w:rPr>
                    <w:t xml:space="preserve">High stiffness, good </w:t>
                  </w:r>
                  <w:proofErr w:type="spellStart"/>
                  <w:r w:rsidRPr="00F53069">
                    <w:rPr>
                      <w:rFonts w:ascii="Arial" w:eastAsia="宋体" w:hAnsi="Arial" w:cs="Arial"/>
                      <w:b/>
                      <w:bCs/>
                      <w:color w:val="000000"/>
                      <w:kern w:val="0"/>
                      <w:sz w:val="18"/>
                    </w:rPr>
                    <w:t>dimesional</w:t>
                  </w:r>
                  <w:proofErr w:type="spellEnd"/>
                  <w:r w:rsidRPr="00F53069">
                    <w:rPr>
                      <w:rFonts w:ascii="Arial" w:eastAsia="宋体" w:hAnsi="Arial" w:cs="Arial"/>
                      <w:b/>
                      <w:bCs/>
                      <w:color w:val="000000"/>
                      <w:kern w:val="0"/>
                      <w:sz w:val="18"/>
                    </w:rPr>
                    <w:t xml:space="preserve"> stability:  SEQUEL 1800 series</w:t>
                  </w:r>
                </w:p>
                <w:tbl>
                  <w:tblPr>
                    <w:tblW w:w="5000" w:type="pct"/>
                    <w:tblCellSpacing w:w="15" w:type="dxa"/>
                    <w:tblCellMar>
                      <w:top w:w="15" w:type="dxa"/>
                      <w:left w:w="15" w:type="dxa"/>
                      <w:bottom w:w="15" w:type="dxa"/>
                      <w:right w:w="15" w:type="dxa"/>
                    </w:tblCellMar>
                    <w:tblLook w:val="04A0"/>
                  </w:tblPr>
                  <w:tblGrid>
                    <w:gridCol w:w="2365"/>
                    <w:gridCol w:w="2349"/>
                    <w:gridCol w:w="2381"/>
                  </w:tblGrid>
                  <w:tr w:rsidR="00F53069" w:rsidRPr="00F53069">
                    <w:trPr>
                      <w:tblCellSpacing w:w="15" w:type="dxa"/>
                    </w:trPr>
                    <w:tc>
                      <w:tcPr>
                        <w:tcW w:w="2055" w:type="dxa"/>
                        <w:hideMark/>
                      </w:tcPr>
                      <w:p w:rsidR="00F53069" w:rsidRPr="00F53069" w:rsidRDefault="00F53069" w:rsidP="00F53069">
                        <w:pPr>
                          <w:widowControl/>
                          <w:spacing w:before="100" w:beforeAutospacing="1" w:after="100" w:afterAutospacing="1" w:line="195" w:lineRule="atLeast"/>
                          <w:jc w:val="left"/>
                          <w:rPr>
                            <w:rFonts w:ascii="Arial" w:eastAsia="宋体" w:hAnsi="Arial" w:cs="Arial"/>
                            <w:color w:val="FFFFFF"/>
                            <w:kern w:val="0"/>
                            <w:sz w:val="17"/>
                            <w:szCs w:val="17"/>
                          </w:rPr>
                        </w:pPr>
                        <w:hyperlink r:id="rId14" w:tgtFrame="_blank" w:history="1">
                          <w:r w:rsidRPr="00F53069">
                            <w:rPr>
                              <w:rFonts w:ascii="Arial" w:eastAsia="宋体" w:hAnsi="Arial" w:cs="Arial"/>
                              <w:color w:val="999999"/>
                              <w:kern w:val="0"/>
                              <w:sz w:val="17"/>
                              <w:u w:val="single"/>
                            </w:rPr>
                            <w:t>SEQUEL 1823</w:t>
                          </w:r>
                          <w:r w:rsidRPr="00F53069">
                            <w:rPr>
                              <w:rFonts w:ascii="Arial" w:eastAsia="宋体" w:hAnsi="Arial" w:cs="Arial"/>
                              <w:color w:val="999999"/>
                              <w:kern w:val="0"/>
                              <w:sz w:val="17"/>
                              <w:szCs w:val="17"/>
                              <w:u w:val="single"/>
                            </w:rPr>
                            <w:br/>
                          </w:r>
                        </w:hyperlink>
                        <w:hyperlink r:id="rId15" w:tgtFrame="_blank" w:history="1">
                          <w:r w:rsidRPr="00F53069">
                            <w:rPr>
                              <w:rFonts w:ascii="Arial" w:eastAsia="宋体" w:hAnsi="Arial" w:cs="Arial"/>
                              <w:color w:val="999999"/>
                              <w:kern w:val="0"/>
                              <w:sz w:val="17"/>
                              <w:u w:val="single"/>
                            </w:rPr>
                            <w:t>SEQUEL 1825</w:t>
                          </w:r>
                        </w:hyperlink>
                      </w:p>
                    </w:tc>
                    <w:tc>
                      <w:tcPr>
                        <w:tcW w:w="2055" w:type="dxa"/>
                        <w:hideMark/>
                      </w:tcPr>
                      <w:p w:rsidR="00F53069" w:rsidRPr="00F53069" w:rsidRDefault="00F53069" w:rsidP="00F53069">
                        <w:pPr>
                          <w:widowControl/>
                          <w:spacing w:before="100" w:beforeAutospacing="1" w:after="100" w:afterAutospacing="1" w:line="195" w:lineRule="atLeast"/>
                          <w:jc w:val="left"/>
                          <w:rPr>
                            <w:rFonts w:ascii="Arial" w:eastAsia="宋体" w:hAnsi="Arial" w:cs="Arial"/>
                            <w:color w:val="000000"/>
                            <w:kern w:val="0"/>
                            <w:sz w:val="17"/>
                            <w:szCs w:val="17"/>
                          </w:rPr>
                        </w:pPr>
                        <w:r w:rsidRPr="00F53069">
                          <w:rPr>
                            <w:rFonts w:ascii="Arial" w:eastAsia="宋体" w:hAnsi="Arial" w:cs="Arial"/>
                            <w:color w:val="000000"/>
                            <w:kern w:val="0"/>
                            <w:sz w:val="15"/>
                          </w:rPr>
                          <w:t>SEQUEL 1828</w:t>
                        </w:r>
                        <w:r w:rsidRPr="00F53069">
                          <w:rPr>
                            <w:rFonts w:ascii="Arial" w:eastAsia="宋体" w:hAnsi="Arial" w:cs="Arial"/>
                            <w:color w:val="000000"/>
                            <w:kern w:val="0"/>
                            <w:sz w:val="17"/>
                            <w:szCs w:val="17"/>
                          </w:rPr>
                          <w:br/>
                        </w:r>
                        <w:r w:rsidRPr="00F53069">
                          <w:rPr>
                            <w:rFonts w:ascii="Arial" w:eastAsia="宋体" w:hAnsi="Arial" w:cs="Arial"/>
                            <w:color w:val="000000"/>
                            <w:kern w:val="0"/>
                            <w:sz w:val="15"/>
                          </w:rPr>
                          <w:t>SEQUEL 1835</w:t>
                        </w:r>
                      </w:p>
                    </w:tc>
                    <w:tc>
                      <w:tcPr>
                        <w:tcW w:w="2070" w:type="dxa"/>
                        <w:hideMark/>
                      </w:tcPr>
                      <w:p w:rsidR="00F53069" w:rsidRPr="00F53069" w:rsidRDefault="00F53069" w:rsidP="00F53069">
                        <w:pPr>
                          <w:widowControl/>
                          <w:spacing w:line="195" w:lineRule="atLeast"/>
                          <w:jc w:val="left"/>
                          <w:rPr>
                            <w:rFonts w:ascii="Arial" w:eastAsia="宋体" w:hAnsi="Arial" w:cs="Arial"/>
                            <w:color w:val="000000"/>
                            <w:kern w:val="0"/>
                            <w:sz w:val="17"/>
                            <w:szCs w:val="17"/>
                          </w:rPr>
                        </w:pPr>
                        <w:r w:rsidRPr="00F53069">
                          <w:rPr>
                            <w:rFonts w:ascii="Arial" w:eastAsia="宋体" w:hAnsi="Arial" w:cs="Arial"/>
                            <w:color w:val="000000"/>
                            <w:kern w:val="0"/>
                            <w:sz w:val="15"/>
                          </w:rPr>
                          <w:t>SEQUEL 1838</w:t>
                        </w:r>
                      </w:p>
                    </w:tc>
                  </w:tr>
                </w:tbl>
                <w:p w:rsidR="00F53069" w:rsidRPr="00F53069" w:rsidRDefault="00F53069" w:rsidP="00F53069">
                  <w:pPr>
                    <w:widowControl/>
                    <w:spacing w:line="210" w:lineRule="atLeast"/>
                    <w:jc w:val="left"/>
                    <w:rPr>
                      <w:rFonts w:ascii="Arial" w:eastAsia="宋体" w:hAnsi="Arial" w:cs="Arial"/>
                      <w:color w:val="000000"/>
                      <w:kern w:val="0"/>
                      <w:sz w:val="18"/>
                      <w:szCs w:val="18"/>
                    </w:rPr>
                  </w:pPr>
                </w:p>
              </w:tc>
            </w:tr>
          </w:tbl>
          <w:p w:rsidR="00F53069" w:rsidRPr="00F53069" w:rsidRDefault="00F53069" w:rsidP="00F53069">
            <w:pPr>
              <w:widowControl/>
              <w:spacing w:line="195" w:lineRule="atLeast"/>
              <w:jc w:val="left"/>
              <w:rPr>
                <w:rFonts w:ascii="Arial" w:eastAsia="宋体" w:hAnsi="Arial" w:cs="Arial"/>
                <w:color w:val="000000"/>
                <w:kern w:val="0"/>
                <w:sz w:val="17"/>
                <w:szCs w:val="17"/>
              </w:rPr>
            </w:pPr>
          </w:p>
        </w:tc>
      </w:tr>
    </w:tbl>
    <w:p w:rsidR="00B856D5" w:rsidRDefault="00B856D5"/>
    <w:sectPr w:rsidR="00B856D5"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3069"/>
    <w:rsid w:val="00B856D5"/>
    <w:rsid w:val="00F53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069"/>
    <w:rPr>
      <w:color w:val="999999"/>
      <w:sz w:val="17"/>
      <w:szCs w:val="17"/>
      <w:u w:val="single"/>
    </w:rPr>
  </w:style>
  <w:style w:type="paragraph" w:styleId="a4">
    <w:name w:val="Normal (Web)"/>
    <w:basedOn w:val="a"/>
    <w:uiPriority w:val="99"/>
    <w:unhideWhenUsed/>
    <w:rsid w:val="00F53069"/>
    <w:pPr>
      <w:widowControl/>
      <w:spacing w:before="100" w:beforeAutospacing="1" w:after="100" w:afterAutospacing="1"/>
      <w:jc w:val="left"/>
    </w:pPr>
    <w:rPr>
      <w:rFonts w:ascii="宋体" w:eastAsia="宋体" w:hAnsi="宋体" w:cs="宋体"/>
      <w:kern w:val="0"/>
      <w:sz w:val="24"/>
      <w:szCs w:val="24"/>
    </w:rPr>
  </w:style>
  <w:style w:type="character" w:customStyle="1" w:styleId="h11">
    <w:name w:val="h11"/>
    <w:basedOn w:val="a0"/>
    <w:rsid w:val="00F53069"/>
    <w:rPr>
      <w:b/>
      <w:bCs/>
      <w:color w:val="0065CE"/>
      <w:sz w:val="18"/>
      <w:szCs w:val="18"/>
    </w:rPr>
  </w:style>
  <w:style w:type="character" w:customStyle="1" w:styleId="textehtml1">
    <w:name w:val="textehtml1"/>
    <w:basedOn w:val="a0"/>
    <w:rsid w:val="00F53069"/>
    <w:rPr>
      <w:i w:val="0"/>
      <w:iCs w:val="0"/>
      <w:color w:val="000000"/>
      <w:sz w:val="18"/>
      <w:szCs w:val="18"/>
    </w:rPr>
  </w:style>
  <w:style w:type="character" w:customStyle="1" w:styleId="style11">
    <w:name w:val="style11"/>
    <w:basedOn w:val="a0"/>
    <w:rsid w:val="00F53069"/>
    <w:rPr>
      <w:sz w:val="17"/>
      <w:szCs w:val="17"/>
    </w:rPr>
  </w:style>
  <w:style w:type="character" w:customStyle="1" w:styleId="style21">
    <w:name w:val="style21"/>
    <w:basedOn w:val="a0"/>
    <w:rsid w:val="00F53069"/>
    <w:rPr>
      <w:sz w:val="15"/>
      <w:szCs w:val="15"/>
    </w:rPr>
  </w:style>
  <w:style w:type="paragraph" w:styleId="a5">
    <w:name w:val="Balloon Text"/>
    <w:basedOn w:val="a"/>
    <w:link w:val="Char"/>
    <w:uiPriority w:val="99"/>
    <w:semiHidden/>
    <w:unhideWhenUsed/>
    <w:rsid w:val="00F53069"/>
    <w:rPr>
      <w:sz w:val="18"/>
      <w:szCs w:val="18"/>
    </w:rPr>
  </w:style>
  <w:style w:type="character" w:customStyle="1" w:styleId="Char">
    <w:name w:val="批注框文本 Char"/>
    <w:basedOn w:val="a0"/>
    <w:link w:val="a5"/>
    <w:uiPriority w:val="99"/>
    <w:semiHidden/>
    <w:rsid w:val="00F530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lyondellbasell.com/products/exterior/static/wma/pdf/7/5/5/9/SEQUEL_1485.pdf" TargetMode="External"/><Relationship Id="rId13" Type="http://schemas.openxmlformats.org/officeDocument/2006/relationships/hyperlink" Target="http://www.apo.lyondellbasell.com/products/exterior/static/wma/pdf/7/5/7/0/SEQUEL_1780.pdf" TargetMode="External"/><Relationship Id="rId3" Type="http://schemas.openxmlformats.org/officeDocument/2006/relationships/webSettings" Target="webSettings.xml"/><Relationship Id="rId7" Type="http://schemas.openxmlformats.org/officeDocument/2006/relationships/hyperlink" Target="http://www.apo.lyondellbasell.com/products/exterior/static/wma/pdf/7/5/5/8/SEQUEL_1480.pdf" TargetMode="External"/><Relationship Id="rId12" Type="http://schemas.openxmlformats.org/officeDocument/2006/relationships/hyperlink" Target="http://www.apo.lyondellbasell.com/products/exterior/static/wma/pdf/7/5/6/9/SEQUEL_1733HI.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po.lyondellbasell.com/products/exterior/static/wma/pdf/7/5/5/6/SEQUEL_1440.pdf" TargetMode="External"/><Relationship Id="rId11" Type="http://schemas.openxmlformats.org/officeDocument/2006/relationships/hyperlink" Target="http://www.apo.lyondellbasell.com/products/exterior/static/wma/pdf/7/5/6/8/SEQUEL_1733.pdf" TargetMode="External"/><Relationship Id="rId5" Type="http://schemas.openxmlformats.org/officeDocument/2006/relationships/image" Target="media/image2.gif"/><Relationship Id="rId15" Type="http://schemas.openxmlformats.org/officeDocument/2006/relationships/hyperlink" Target="http://www.apo.lyondellbasell.com/products/exterior/static/wma/pdf/7/5/7/4/SEQUEL_1825.pdf" TargetMode="External"/><Relationship Id="rId10" Type="http://schemas.openxmlformats.org/officeDocument/2006/relationships/hyperlink" Target="http://www.apo.lyondellbasell.com/products/exterior/static/wma/pdf/7/5/6/5/SEQUEL_1718.pdf" TargetMode="External"/><Relationship Id="rId4" Type="http://schemas.openxmlformats.org/officeDocument/2006/relationships/image" Target="media/image1.jpeg"/><Relationship Id="rId9" Type="http://schemas.openxmlformats.org/officeDocument/2006/relationships/hyperlink" Target="http://www.apo.lyondellbasell.com/static/wma/pdf/7/5/6/3/SEQUEL_1514.pdf" TargetMode="External"/><Relationship Id="rId14" Type="http://schemas.openxmlformats.org/officeDocument/2006/relationships/hyperlink" Target="http://www.apo.lyondellbasell.com/products/exterior/static/wma/pdf/7/5/7/3/SEQUEL_182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2008-03-06T04:50:00Z</dcterms:created>
  <dcterms:modified xsi:type="dcterms:W3CDTF">2008-03-06T04:50:00Z</dcterms:modified>
</cp:coreProperties>
</file>